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300"/>
        <w:tblW w:w="144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744"/>
        <w:gridCol w:w="10692"/>
      </w:tblGrid>
      <w:tr w:rsidR="00B44931" w:rsidRPr="00291D22" w:rsidTr="00EA559B">
        <w:trPr>
          <w:trHeight w:val="381"/>
        </w:trPr>
        <w:tc>
          <w:tcPr>
            <w:tcW w:w="144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4931" w:rsidRDefault="00686C25" w:rsidP="00EA559B">
            <w:pPr>
              <w:spacing w:after="0" w:line="264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Sample </w:t>
            </w:r>
            <w:r w:rsidR="00175813">
              <w:rPr>
                <w:rFonts w:ascii="Arial" w:hAnsi="Arial" w:cs="Arial"/>
                <w:b/>
              </w:rPr>
              <w:t>Strategies</w:t>
            </w:r>
            <w:r>
              <w:rPr>
                <w:rFonts w:ascii="Arial" w:hAnsi="Arial" w:cs="Arial"/>
                <w:b/>
              </w:rPr>
              <w:t xml:space="preserve"> for Pursuing a Common Agenda</w:t>
            </w:r>
          </w:p>
          <w:p w:rsidR="00E42D5D" w:rsidRDefault="00E42D5D" w:rsidP="00EA559B">
            <w:pPr>
              <w:spacing w:after="0" w:line="264" w:lineRule="auto"/>
              <w:jc w:val="center"/>
              <w:rPr>
                <w:rFonts w:ascii="Arial" w:hAnsi="Arial" w:cs="Arial"/>
                <w:b/>
              </w:rPr>
            </w:pPr>
          </w:p>
          <w:p w:rsidR="00B44931" w:rsidRPr="00291D22" w:rsidRDefault="00344A12" w:rsidP="00F063F5">
            <w:pPr>
              <w:spacing w:after="0" w:line="264" w:lineRule="auto"/>
              <w:jc w:val="both"/>
              <w:rPr>
                <w:rFonts w:ascii="Arial" w:hAnsi="Arial" w:cs="Arial"/>
              </w:rPr>
            </w:pPr>
            <w:r w:rsidRPr="00344A12">
              <w:rPr>
                <w:rFonts w:ascii="Arial" w:hAnsi="Arial" w:cs="Arial"/>
                <w:i/>
              </w:rPr>
              <w:t>The below strategies were developed in fall 2014 for a collective impact effort focused on improving health outcomes in a large U.S. city. These strategies represent the areas where each working group would focus ove</w:t>
            </w:r>
            <w:r w:rsidR="00F063F5">
              <w:rPr>
                <w:rFonts w:ascii="Arial" w:hAnsi="Arial" w:cs="Arial"/>
                <w:i/>
              </w:rPr>
              <w:t>r the next one to three years. A</w:t>
            </w:r>
            <w:r w:rsidRPr="00344A12">
              <w:rPr>
                <w:rFonts w:ascii="Arial" w:hAnsi="Arial" w:cs="Arial"/>
                <w:i/>
              </w:rPr>
              <w:t>s such, some strategies are shorter term and some longer term. The group completed these lists of strategies and chose one strategy to focus on to start, or a pair of complementary strategies that made sense to start together. In addition, some groups created sub-groups that would focus on specific strategies</w:t>
            </w:r>
            <w:r w:rsidR="00F063F5">
              <w:rPr>
                <w:rFonts w:ascii="Arial" w:hAnsi="Arial" w:cs="Arial"/>
                <w:i/>
              </w:rPr>
              <w:t>. F</w:t>
            </w:r>
            <w:r w:rsidRPr="00344A12">
              <w:rPr>
                <w:rFonts w:ascii="Arial" w:hAnsi="Arial" w:cs="Arial"/>
                <w:i/>
              </w:rPr>
              <w:t xml:space="preserve">or example, the supportive healthcare system group broke up their two hours monthly meeting into one-hour blocks – the first was focused on breastfeeding and the second on physician tools and training. Working group members could opt in or out of these “separate” discussions based on interest. </w:t>
            </w:r>
            <w:r>
              <w:rPr>
                <w:rFonts w:ascii="Arial" w:hAnsi="Arial" w:cs="Arial"/>
                <w:i/>
              </w:rPr>
              <w:t>T</w:t>
            </w:r>
            <w:r w:rsidRPr="00344A12">
              <w:rPr>
                <w:rFonts w:ascii="Arial" w:hAnsi="Arial" w:cs="Arial"/>
                <w:i/>
              </w:rPr>
              <w:t>he detailed strategies below are for illustration purposes only.</w:t>
            </w:r>
          </w:p>
        </w:tc>
      </w:tr>
      <w:tr w:rsidR="00291D22" w:rsidRPr="00B44931" w:rsidTr="00DF763C">
        <w:trPr>
          <w:trHeight w:val="240"/>
        </w:trPr>
        <w:tc>
          <w:tcPr>
            <w:tcW w:w="3744" w:type="dxa"/>
            <w:tcBorders>
              <w:left w:val="nil"/>
              <w:bottom w:val="single" w:sz="8" w:space="0" w:color="BCE3F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10093D" w:rsidRPr="00EA559B" w:rsidRDefault="00291D22" w:rsidP="00686C25">
            <w:pPr>
              <w:spacing w:after="0" w:line="264" w:lineRule="auto"/>
              <w:jc w:val="center"/>
              <w:rPr>
                <w:rFonts w:ascii="Arial" w:hAnsi="Arial" w:cs="Arial"/>
                <w:i/>
              </w:rPr>
            </w:pPr>
            <w:r w:rsidRPr="00EA559B">
              <w:rPr>
                <w:rFonts w:ascii="Arial" w:hAnsi="Arial" w:cs="Arial"/>
                <w:b/>
                <w:bCs/>
                <w:i/>
              </w:rPr>
              <w:t>Physical Activity</w:t>
            </w:r>
          </w:p>
        </w:tc>
        <w:tc>
          <w:tcPr>
            <w:tcW w:w="10692" w:type="dxa"/>
            <w:tcBorders>
              <w:left w:val="nil"/>
              <w:bottom w:val="single" w:sz="8" w:space="0" w:color="BCE3F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1D22" w:rsidRPr="00B44931" w:rsidRDefault="00291D22" w:rsidP="00DF763C">
            <w:pPr>
              <w:spacing w:after="0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B44931" w:rsidRPr="00B44931" w:rsidTr="00B44931">
        <w:trPr>
          <w:trHeight w:val="288"/>
        </w:trPr>
        <w:tc>
          <w:tcPr>
            <w:tcW w:w="3744" w:type="dxa"/>
            <w:vMerge w:val="restart"/>
            <w:tcBorders>
              <w:top w:val="single" w:sz="8" w:space="0" w:color="BCE3FF"/>
              <w:left w:val="single" w:sz="8" w:space="0" w:color="BCE3FF"/>
              <w:bottom w:val="single" w:sz="8" w:space="0" w:color="BCE3FF"/>
              <w:right w:val="single" w:sz="8" w:space="0" w:color="BCE3FF"/>
            </w:tcBorders>
            <w:shd w:val="clear" w:color="auto" w:fill="BCE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093D" w:rsidRPr="00B44931" w:rsidRDefault="00DF763C" w:rsidP="00EA559B">
            <w:pPr>
              <w:spacing w:after="0" w:line="264" w:lineRule="auto"/>
              <w:rPr>
                <w:rFonts w:ascii="Arial" w:hAnsi="Arial" w:cs="Arial"/>
              </w:rPr>
            </w:pPr>
            <w:r w:rsidRPr="00B44931">
              <w:rPr>
                <w:rFonts w:ascii="Arial" w:hAnsi="Arial" w:cs="Arial"/>
                <w:b/>
                <w:bCs/>
              </w:rPr>
              <w:t>Increase community engagement in physical activity programs, parks, and trails</w:t>
            </w:r>
          </w:p>
        </w:tc>
        <w:tc>
          <w:tcPr>
            <w:tcW w:w="10692" w:type="dxa"/>
            <w:tcBorders>
              <w:top w:val="single" w:sz="8" w:space="0" w:color="BCE3FF"/>
              <w:left w:val="single" w:sz="8" w:space="0" w:color="BCE3FF"/>
              <w:bottom w:val="single" w:sz="8" w:space="0" w:color="BCE3FF"/>
              <w:right w:val="single" w:sz="8" w:space="0" w:color="BCE3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093D" w:rsidRPr="00B44931" w:rsidRDefault="00291D22" w:rsidP="00EA559B">
            <w:pPr>
              <w:spacing w:after="0" w:line="264" w:lineRule="auto"/>
              <w:rPr>
                <w:rFonts w:ascii="Arial" w:hAnsi="Arial" w:cs="Arial"/>
              </w:rPr>
            </w:pPr>
            <w:r w:rsidRPr="00B44931">
              <w:rPr>
                <w:rFonts w:ascii="Arial" w:hAnsi="Arial" w:cs="Arial"/>
              </w:rPr>
              <w:t>1a. Programs - bring physical activity programs to where families already gather to overcome geographic / accessibility issues</w:t>
            </w:r>
          </w:p>
        </w:tc>
      </w:tr>
      <w:tr w:rsidR="00B44931" w:rsidRPr="00B44931" w:rsidTr="00B44931">
        <w:trPr>
          <w:trHeight w:val="288"/>
        </w:trPr>
        <w:tc>
          <w:tcPr>
            <w:tcW w:w="3744" w:type="dxa"/>
            <w:vMerge/>
            <w:tcBorders>
              <w:top w:val="single" w:sz="8" w:space="0" w:color="BCE3FF"/>
              <w:left w:val="single" w:sz="8" w:space="0" w:color="BCE3FF"/>
              <w:bottom w:val="single" w:sz="8" w:space="0" w:color="BCE3FF"/>
              <w:right w:val="single" w:sz="8" w:space="0" w:color="BCE3FF"/>
            </w:tcBorders>
            <w:vAlign w:val="center"/>
            <w:hideMark/>
          </w:tcPr>
          <w:p w:rsidR="00291D22" w:rsidRPr="00B44931" w:rsidRDefault="00291D22" w:rsidP="00EA559B">
            <w:pPr>
              <w:spacing w:after="0" w:line="264" w:lineRule="auto"/>
              <w:rPr>
                <w:rFonts w:ascii="Arial" w:hAnsi="Arial" w:cs="Arial"/>
              </w:rPr>
            </w:pPr>
          </w:p>
        </w:tc>
        <w:tc>
          <w:tcPr>
            <w:tcW w:w="10692" w:type="dxa"/>
            <w:tcBorders>
              <w:top w:val="single" w:sz="8" w:space="0" w:color="BCE3FF"/>
              <w:left w:val="single" w:sz="8" w:space="0" w:color="BCE3FF"/>
              <w:bottom w:val="single" w:sz="8" w:space="0" w:color="BCE3FF"/>
              <w:right w:val="single" w:sz="8" w:space="0" w:color="BCE3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093D" w:rsidRPr="00B44931" w:rsidRDefault="00291D22" w:rsidP="00EA559B">
            <w:pPr>
              <w:spacing w:after="0" w:line="264" w:lineRule="auto"/>
              <w:rPr>
                <w:rFonts w:ascii="Arial" w:hAnsi="Arial" w:cs="Arial"/>
              </w:rPr>
            </w:pPr>
            <w:r w:rsidRPr="00B44931">
              <w:rPr>
                <w:rFonts w:ascii="Arial" w:hAnsi="Arial" w:cs="Arial"/>
              </w:rPr>
              <w:t>1b. Renovated parks – research why communities are not using recently renovated parks. Use findings to create a strategy to increase community engagement and improve other parks</w:t>
            </w:r>
          </w:p>
        </w:tc>
      </w:tr>
      <w:tr w:rsidR="00B44931" w:rsidRPr="00B44931" w:rsidTr="00B44931">
        <w:trPr>
          <w:trHeight w:val="20"/>
        </w:trPr>
        <w:tc>
          <w:tcPr>
            <w:tcW w:w="3744" w:type="dxa"/>
            <w:vMerge/>
            <w:tcBorders>
              <w:top w:val="single" w:sz="8" w:space="0" w:color="BCE3FF"/>
              <w:left w:val="single" w:sz="8" w:space="0" w:color="BCE3FF"/>
              <w:bottom w:val="single" w:sz="8" w:space="0" w:color="BCE3FF"/>
              <w:right w:val="single" w:sz="8" w:space="0" w:color="BCE3FF"/>
            </w:tcBorders>
            <w:vAlign w:val="center"/>
            <w:hideMark/>
          </w:tcPr>
          <w:p w:rsidR="00291D22" w:rsidRPr="00B44931" w:rsidRDefault="00291D22" w:rsidP="00EA559B">
            <w:pPr>
              <w:spacing w:after="0" w:line="264" w:lineRule="auto"/>
              <w:rPr>
                <w:rFonts w:ascii="Arial" w:hAnsi="Arial" w:cs="Arial"/>
              </w:rPr>
            </w:pPr>
          </w:p>
        </w:tc>
        <w:tc>
          <w:tcPr>
            <w:tcW w:w="10692" w:type="dxa"/>
            <w:tcBorders>
              <w:top w:val="single" w:sz="8" w:space="0" w:color="BCE3FF"/>
              <w:left w:val="single" w:sz="8" w:space="0" w:color="BCE3FF"/>
              <w:bottom w:val="single" w:sz="8" w:space="0" w:color="BCE3FF"/>
              <w:right w:val="single" w:sz="8" w:space="0" w:color="BCE3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093D" w:rsidRPr="00B44931" w:rsidRDefault="00291D22" w:rsidP="00686C25">
            <w:pPr>
              <w:spacing w:after="0" w:line="264" w:lineRule="auto"/>
              <w:rPr>
                <w:rFonts w:ascii="Arial" w:hAnsi="Arial" w:cs="Arial"/>
              </w:rPr>
            </w:pPr>
            <w:r w:rsidRPr="00B44931">
              <w:rPr>
                <w:rFonts w:ascii="Arial" w:hAnsi="Arial" w:cs="Arial"/>
              </w:rPr>
              <w:t>1c. Lack of parks / trails – understand city efforts to expand parks and trails; identify any opportunities for our WG to support this effort (e.g., advocacy)</w:t>
            </w:r>
          </w:p>
        </w:tc>
      </w:tr>
      <w:tr w:rsidR="00B44931" w:rsidRPr="00B44931" w:rsidTr="00B44931">
        <w:trPr>
          <w:trHeight w:val="415"/>
        </w:trPr>
        <w:tc>
          <w:tcPr>
            <w:tcW w:w="3744" w:type="dxa"/>
            <w:tcBorders>
              <w:top w:val="single" w:sz="8" w:space="0" w:color="BCE3FF"/>
              <w:left w:val="single" w:sz="8" w:space="0" w:color="BCE3FF"/>
              <w:right w:val="single" w:sz="8" w:space="0" w:color="BCE3FF"/>
            </w:tcBorders>
            <w:shd w:val="clear" w:color="auto" w:fill="BCE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093D" w:rsidRPr="00B44931" w:rsidRDefault="00291D22" w:rsidP="00686C25">
            <w:pPr>
              <w:spacing w:after="0" w:line="264" w:lineRule="auto"/>
              <w:rPr>
                <w:rFonts w:ascii="Arial" w:hAnsi="Arial" w:cs="Arial"/>
              </w:rPr>
            </w:pPr>
            <w:r w:rsidRPr="00B44931">
              <w:rPr>
                <w:rFonts w:ascii="Arial" w:hAnsi="Arial" w:cs="Arial"/>
                <w:b/>
                <w:bCs/>
              </w:rPr>
              <w:t xml:space="preserve">Advance </w:t>
            </w:r>
            <w:r w:rsidR="00686C25">
              <w:rPr>
                <w:rFonts w:ascii="Arial" w:hAnsi="Arial" w:cs="Arial"/>
                <w:b/>
                <w:bCs/>
              </w:rPr>
              <w:t>existing</w:t>
            </w:r>
            <w:r w:rsidRPr="00B44931">
              <w:rPr>
                <w:rFonts w:ascii="Arial" w:hAnsi="Arial" w:cs="Arial"/>
                <w:b/>
                <w:bCs/>
              </w:rPr>
              <w:t xml:space="preserve"> effort</w:t>
            </w:r>
            <w:r w:rsidR="00686C25">
              <w:rPr>
                <w:rFonts w:ascii="Arial" w:hAnsi="Arial" w:cs="Arial"/>
                <w:b/>
                <w:bCs/>
              </w:rPr>
              <w:t>s</w:t>
            </w:r>
            <w:r w:rsidRPr="00B44931">
              <w:rPr>
                <w:rFonts w:ascii="Arial" w:hAnsi="Arial" w:cs="Arial"/>
                <w:b/>
                <w:bCs/>
              </w:rPr>
              <w:t xml:space="preserve"> to ensure use of  built environment</w:t>
            </w:r>
          </w:p>
        </w:tc>
        <w:tc>
          <w:tcPr>
            <w:tcW w:w="10692" w:type="dxa"/>
            <w:tcBorders>
              <w:top w:val="single" w:sz="8" w:space="0" w:color="BCE3FF"/>
              <w:left w:val="single" w:sz="8" w:space="0" w:color="BCE3FF"/>
              <w:right w:val="single" w:sz="8" w:space="0" w:color="BCE3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093D" w:rsidRPr="00B44931" w:rsidRDefault="00291D22" w:rsidP="00686C25">
            <w:pPr>
              <w:spacing w:after="0" w:line="264" w:lineRule="auto"/>
              <w:rPr>
                <w:rFonts w:ascii="Arial" w:hAnsi="Arial" w:cs="Arial"/>
              </w:rPr>
            </w:pPr>
            <w:r w:rsidRPr="00B44931">
              <w:rPr>
                <w:rFonts w:ascii="Arial" w:hAnsi="Arial" w:cs="Arial"/>
              </w:rPr>
              <w:t xml:space="preserve">2a. Work at the neighborhood level to identify barriers to community engagement and implementation issues. Use findings the develop a strategy to accelerate </w:t>
            </w:r>
            <w:r w:rsidR="00686C25">
              <w:rPr>
                <w:rFonts w:ascii="Arial" w:hAnsi="Arial" w:cs="Arial"/>
              </w:rPr>
              <w:t>existing efforts on the built environment in the city</w:t>
            </w:r>
          </w:p>
        </w:tc>
      </w:tr>
    </w:tbl>
    <w:tbl>
      <w:tblPr>
        <w:tblW w:w="145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6"/>
        <w:gridCol w:w="3618"/>
        <w:gridCol w:w="10710"/>
      </w:tblGrid>
      <w:tr w:rsidR="00291D22" w:rsidRPr="00B44931" w:rsidTr="00DF763C">
        <w:trPr>
          <w:trHeight w:val="339"/>
        </w:trPr>
        <w:tc>
          <w:tcPr>
            <w:tcW w:w="3834" w:type="dxa"/>
            <w:gridSpan w:val="2"/>
            <w:tcBorders>
              <w:top w:val="nil"/>
              <w:left w:val="nil"/>
              <w:bottom w:val="single" w:sz="8" w:space="0" w:color="92D05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10093D" w:rsidRPr="00EA559B" w:rsidRDefault="00291D22" w:rsidP="00DF763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EA559B">
              <w:rPr>
                <w:rFonts w:ascii="Arial" w:hAnsi="Arial" w:cs="Arial"/>
                <w:b/>
                <w:bCs/>
                <w:i/>
              </w:rPr>
              <w:t>Healthy Eating</w:t>
            </w:r>
          </w:p>
        </w:tc>
        <w:tc>
          <w:tcPr>
            <w:tcW w:w="10710" w:type="dxa"/>
            <w:tcBorders>
              <w:top w:val="nil"/>
              <w:left w:val="nil"/>
              <w:bottom w:val="single" w:sz="8" w:space="0" w:color="92D05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1D22" w:rsidRPr="00B44931" w:rsidRDefault="00291D22" w:rsidP="00DF763C">
            <w:pPr>
              <w:spacing w:after="0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EA559B" w:rsidRPr="00B44931" w:rsidTr="00C62A4E">
        <w:trPr>
          <w:trHeight w:val="403"/>
        </w:trPr>
        <w:tc>
          <w:tcPr>
            <w:tcW w:w="3834" w:type="dxa"/>
            <w:gridSpan w:val="2"/>
            <w:vMerge w:val="restart"/>
            <w:tcBorders>
              <w:top w:val="single" w:sz="8" w:space="0" w:color="92D050"/>
              <w:left w:val="single" w:sz="8" w:space="0" w:color="92D050"/>
              <w:right w:val="single" w:sz="8" w:space="0" w:color="92D050"/>
            </w:tcBorders>
            <w:shd w:val="clear" w:color="auto" w:fill="ECF7B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559B" w:rsidRPr="00B44931" w:rsidRDefault="00EA559B" w:rsidP="00EA559B">
            <w:pPr>
              <w:spacing w:after="0" w:line="264" w:lineRule="auto"/>
              <w:rPr>
                <w:rFonts w:ascii="Arial" w:hAnsi="Arial" w:cs="Arial"/>
                <w:b/>
              </w:rPr>
            </w:pPr>
            <w:r w:rsidRPr="00B44931">
              <w:rPr>
                <w:rFonts w:ascii="Arial" w:hAnsi="Arial" w:cs="Arial"/>
                <w:b/>
                <w:bCs/>
              </w:rPr>
              <w:t xml:space="preserve">Expand access to healthy food </w:t>
            </w:r>
          </w:p>
        </w:tc>
        <w:tc>
          <w:tcPr>
            <w:tcW w:w="107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559B" w:rsidRPr="00B44931" w:rsidRDefault="00EA559B" w:rsidP="00EA559B">
            <w:pPr>
              <w:spacing w:after="0" w:line="264" w:lineRule="auto"/>
              <w:rPr>
                <w:rFonts w:ascii="Arial" w:hAnsi="Arial" w:cs="Arial"/>
              </w:rPr>
            </w:pPr>
            <w:r w:rsidRPr="00B44931">
              <w:rPr>
                <w:rFonts w:ascii="Arial" w:hAnsi="Arial" w:cs="Arial"/>
              </w:rPr>
              <w:t>1a. Work with existing merchants in food deserts to increase purchasing power and encourage consumer spending on healthy items</w:t>
            </w:r>
          </w:p>
        </w:tc>
      </w:tr>
      <w:tr w:rsidR="00EA559B" w:rsidRPr="00B44931" w:rsidTr="00C62A4E">
        <w:trPr>
          <w:trHeight w:val="277"/>
        </w:trPr>
        <w:tc>
          <w:tcPr>
            <w:tcW w:w="3834" w:type="dxa"/>
            <w:gridSpan w:val="2"/>
            <w:vMerge/>
            <w:tcBorders>
              <w:left w:val="single" w:sz="8" w:space="0" w:color="92D050"/>
              <w:right w:val="single" w:sz="8" w:space="0" w:color="92D050"/>
            </w:tcBorders>
            <w:vAlign w:val="center"/>
            <w:hideMark/>
          </w:tcPr>
          <w:p w:rsidR="00EA559B" w:rsidRPr="00B44931" w:rsidRDefault="00EA559B" w:rsidP="00EA559B">
            <w:pPr>
              <w:spacing w:after="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107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559B" w:rsidRPr="00B44931" w:rsidRDefault="00EA559B" w:rsidP="00EA559B">
            <w:pPr>
              <w:spacing w:after="0" w:line="264" w:lineRule="auto"/>
              <w:rPr>
                <w:rFonts w:ascii="Arial" w:hAnsi="Arial" w:cs="Arial"/>
              </w:rPr>
            </w:pPr>
            <w:r w:rsidRPr="00B44931">
              <w:rPr>
                <w:rFonts w:ascii="Arial" w:hAnsi="Arial" w:cs="Arial"/>
              </w:rPr>
              <w:t>1b. Bring innovative models of using SNAP benefits for healthy food</w:t>
            </w:r>
          </w:p>
        </w:tc>
      </w:tr>
      <w:tr w:rsidR="00EA559B" w:rsidRPr="00B44931" w:rsidTr="00C62A4E">
        <w:trPr>
          <w:trHeight w:val="277"/>
        </w:trPr>
        <w:tc>
          <w:tcPr>
            <w:tcW w:w="3834" w:type="dxa"/>
            <w:gridSpan w:val="2"/>
            <w:vMerge/>
            <w:tcBorders>
              <w:left w:val="single" w:sz="8" w:space="0" w:color="92D050"/>
              <w:right w:val="single" w:sz="8" w:space="0" w:color="92D050"/>
            </w:tcBorders>
            <w:vAlign w:val="center"/>
          </w:tcPr>
          <w:p w:rsidR="00EA559B" w:rsidRPr="00B44931" w:rsidRDefault="00EA559B" w:rsidP="00EA559B">
            <w:pPr>
              <w:spacing w:after="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107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59B" w:rsidRPr="00B44931" w:rsidRDefault="00EA559B" w:rsidP="00EA559B">
            <w:pPr>
              <w:spacing w:after="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1c. </w:t>
            </w:r>
            <w:r w:rsidRPr="00B44931">
              <w:rPr>
                <w:rFonts w:ascii="Arial" w:hAnsi="Arial" w:cs="Arial"/>
              </w:rPr>
              <w:t>Support policies that expand local urban agriculture</w:t>
            </w:r>
          </w:p>
        </w:tc>
      </w:tr>
      <w:tr w:rsidR="00EA559B" w:rsidRPr="00B44931" w:rsidTr="00C62A4E">
        <w:trPr>
          <w:trHeight w:val="277"/>
        </w:trPr>
        <w:tc>
          <w:tcPr>
            <w:tcW w:w="3834" w:type="dxa"/>
            <w:gridSpan w:val="2"/>
            <w:vMerge/>
            <w:tcBorders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:rsidR="00EA559B" w:rsidRPr="00B44931" w:rsidRDefault="00EA559B" w:rsidP="00EA559B">
            <w:pPr>
              <w:spacing w:after="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107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59B" w:rsidRDefault="00EA559B" w:rsidP="00EA559B">
            <w:pPr>
              <w:spacing w:after="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1d. </w:t>
            </w:r>
            <w:r w:rsidRPr="00B44931">
              <w:rPr>
                <w:rFonts w:ascii="Arial" w:hAnsi="Arial" w:cs="Arial"/>
              </w:rPr>
              <w:t>Support policies that create “buffer zones” to enhance healthy food environment around schools</w:t>
            </w:r>
          </w:p>
        </w:tc>
      </w:tr>
      <w:tr w:rsidR="00291D22" w:rsidRPr="00B44931" w:rsidTr="00B44931">
        <w:trPr>
          <w:trHeight w:val="229"/>
        </w:trPr>
        <w:tc>
          <w:tcPr>
            <w:tcW w:w="3834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ECF7B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093D" w:rsidRPr="00B44931" w:rsidRDefault="00291D22" w:rsidP="00686C25">
            <w:pPr>
              <w:spacing w:after="0" w:line="264" w:lineRule="auto"/>
              <w:rPr>
                <w:rFonts w:ascii="Arial" w:hAnsi="Arial" w:cs="Arial"/>
                <w:b/>
              </w:rPr>
            </w:pPr>
            <w:r w:rsidRPr="00B44931">
              <w:rPr>
                <w:rFonts w:ascii="Arial" w:hAnsi="Arial" w:cs="Arial"/>
                <w:b/>
                <w:bCs/>
              </w:rPr>
              <w:t xml:space="preserve">Increase participation in </w:t>
            </w:r>
            <w:r w:rsidR="00686C25">
              <w:rPr>
                <w:rFonts w:ascii="Arial" w:hAnsi="Arial" w:cs="Arial"/>
                <w:b/>
                <w:bCs/>
              </w:rPr>
              <w:t>s</w:t>
            </w:r>
            <w:r w:rsidR="00686C25" w:rsidRPr="00B44931">
              <w:rPr>
                <w:rFonts w:ascii="Arial" w:hAnsi="Arial" w:cs="Arial"/>
                <w:b/>
                <w:bCs/>
              </w:rPr>
              <w:t xml:space="preserve">ummer </w:t>
            </w:r>
            <w:r w:rsidR="00686C25">
              <w:rPr>
                <w:rFonts w:ascii="Arial" w:hAnsi="Arial" w:cs="Arial"/>
                <w:b/>
                <w:bCs/>
              </w:rPr>
              <w:t>m</w:t>
            </w:r>
            <w:r w:rsidR="00686C25" w:rsidRPr="00B44931">
              <w:rPr>
                <w:rFonts w:ascii="Arial" w:hAnsi="Arial" w:cs="Arial"/>
                <w:b/>
                <w:bCs/>
              </w:rPr>
              <w:t xml:space="preserve">eals </w:t>
            </w:r>
            <w:r w:rsidRPr="00B44931">
              <w:rPr>
                <w:rFonts w:ascii="Arial" w:hAnsi="Arial" w:cs="Arial"/>
                <w:b/>
                <w:bCs/>
              </w:rPr>
              <w:t>programs</w:t>
            </w:r>
          </w:p>
        </w:tc>
        <w:tc>
          <w:tcPr>
            <w:tcW w:w="107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093D" w:rsidRPr="00B44931" w:rsidRDefault="00291D22" w:rsidP="00686C25">
            <w:pPr>
              <w:spacing w:after="0" w:line="264" w:lineRule="auto"/>
              <w:rPr>
                <w:rFonts w:ascii="Arial" w:hAnsi="Arial" w:cs="Arial"/>
              </w:rPr>
            </w:pPr>
            <w:r w:rsidRPr="00B44931">
              <w:rPr>
                <w:rFonts w:ascii="Arial" w:hAnsi="Arial" w:cs="Arial"/>
              </w:rPr>
              <w:t xml:space="preserve">2. Work with the </w:t>
            </w:r>
            <w:r w:rsidR="00686C25">
              <w:rPr>
                <w:rFonts w:ascii="Arial" w:hAnsi="Arial" w:cs="Arial"/>
              </w:rPr>
              <w:t>s</w:t>
            </w:r>
            <w:r w:rsidR="00686C25" w:rsidRPr="00B44931">
              <w:rPr>
                <w:rFonts w:ascii="Arial" w:hAnsi="Arial" w:cs="Arial"/>
              </w:rPr>
              <w:t xml:space="preserve">ummer </w:t>
            </w:r>
            <w:r w:rsidR="00686C25">
              <w:rPr>
                <w:rFonts w:ascii="Arial" w:hAnsi="Arial" w:cs="Arial"/>
              </w:rPr>
              <w:t>f</w:t>
            </w:r>
            <w:r w:rsidR="00686C25" w:rsidRPr="00B44931">
              <w:rPr>
                <w:rFonts w:ascii="Arial" w:hAnsi="Arial" w:cs="Arial"/>
              </w:rPr>
              <w:t xml:space="preserve">ood </w:t>
            </w:r>
            <w:r w:rsidRPr="00B44931">
              <w:rPr>
                <w:rFonts w:ascii="Arial" w:hAnsi="Arial" w:cs="Arial"/>
              </w:rPr>
              <w:t>task force to find gaps in coverage of sites, connect with potential new sites/sponsors, and promote meal programs</w:t>
            </w:r>
          </w:p>
        </w:tc>
      </w:tr>
      <w:tr w:rsidR="00291D22" w:rsidRPr="00B44931" w:rsidTr="00EA559B">
        <w:trPr>
          <w:trHeight w:val="61"/>
        </w:trPr>
        <w:tc>
          <w:tcPr>
            <w:tcW w:w="3834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ECF7B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093D" w:rsidRPr="00B44931" w:rsidRDefault="00291D22" w:rsidP="00EA559B">
            <w:pPr>
              <w:spacing w:after="0" w:line="264" w:lineRule="auto"/>
              <w:rPr>
                <w:rFonts w:ascii="Arial" w:hAnsi="Arial" w:cs="Arial"/>
                <w:b/>
              </w:rPr>
            </w:pPr>
            <w:r w:rsidRPr="00B44931">
              <w:rPr>
                <w:rFonts w:ascii="Arial" w:hAnsi="Arial" w:cs="Arial"/>
                <w:b/>
                <w:bCs/>
              </w:rPr>
              <w:t>Target nutrition education</w:t>
            </w:r>
          </w:p>
        </w:tc>
        <w:tc>
          <w:tcPr>
            <w:tcW w:w="107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093D" w:rsidRPr="00B44931" w:rsidRDefault="00291D22" w:rsidP="00EA559B">
            <w:pPr>
              <w:spacing w:after="0" w:line="264" w:lineRule="auto"/>
              <w:rPr>
                <w:rFonts w:ascii="Arial" w:hAnsi="Arial" w:cs="Arial"/>
              </w:rPr>
            </w:pPr>
            <w:r w:rsidRPr="00B44931">
              <w:rPr>
                <w:rFonts w:ascii="Arial" w:hAnsi="Arial" w:cs="Arial"/>
              </w:rPr>
              <w:t>3. Expand nutrition education that follows best practices (e.g., long term, tactile &amp; neighborhood based)</w:t>
            </w:r>
          </w:p>
        </w:tc>
      </w:tr>
      <w:tr w:rsidR="00B44931" w:rsidRPr="00291D22" w:rsidTr="00DF763C">
        <w:trPr>
          <w:trHeight w:val="472"/>
        </w:trPr>
        <w:tc>
          <w:tcPr>
            <w:tcW w:w="3834" w:type="dxa"/>
            <w:gridSpan w:val="2"/>
            <w:tcBorders>
              <w:top w:val="nil"/>
              <w:left w:val="nil"/>
              <w:bottom w:val="single" w:sz="8" w:space="0" w:color="7D023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1D22" w:rsidRPr="00291D22" w:rsidRDefault="00B44931" w:rsidP="00DF763C">
            <w:pPr>
              <w:spacing w:after="0" w:line="264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A559B">
              <w:rPr>
                <w:rFonts w:ascii="Arial" w:hAnsi="Arial" w:cs="Arial"/>
                <w:b/>
                <w:bCs/>
                <w:i/>
              </w:rPr>
              <w:br w:type="page"/>
            </w:r>
            <w:r w:rsidRPr="00291D22">
              <w:rPr>
                <w:rFonts w:ascii="Arial" w:hAnsi="Arial" w:cs="Arial"/>
                <w:b/>
                <w:bCs/>
                <w:i/>
              </w:rPr>
              <w:t>School and Afterschool Settings</w:t>
            </w:r>
          </w:p>
        </w:tc>
        <w:tc>
          <w:tcPr>
            <w:tcW w:w="10710" w:type="dxa"/>
            <w:tcBorders>
              <w:top w:val="nil"/>
              <w:left w:val="nil"/>
              <w:bottom w:val="single" w:sz="8" w:space="0" w:color="7D023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B44931" w:rsidRPr="00291D22" w:rsidRDefault="00B44931" w:rsidP="00DF763C">
            <w:pPr>
              <w:spacing w:after="0" w:line="264" w:lineRule="auto"/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B44931" w:rsidRPr="00291D22" w:rsidTr="00B44931">
        <w:trPr>
          <w:trHeight w:val="472"/>
        </w:trPr>
        <w:tc>
          <w:tcPr>
            <w:tcW w:w="3834" w:type="dxa"/>
            <w:gridSpan w:val="2"/>
            <w:vMerge w:val="restart"/>
            <w:tcBorders>
              <w:top w:val="single" w:sz="8" w:space="0" w:color="7D0230"/>
              <w:left w:val="single" w:sz="8" w:space="0" w:color="7D0230"/>
              <w:bottom w:val="single" w:sz="8" w:space="0" w:color="7D0230"/>
              <w:right w:val="single" w:sz="8" w:space="0" w:color="7D0230"/>
            </w:tcBorders>
            <w:shd w:val="clear" w:color="auto" w:fill="FD78A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1D22" w:rsidRPr="00291D22" w:rsidRDefault="00B44931" w:rsidP="00686C25">
            <w:pPr>
              <w:spacing w:after="0" w:line="264" w:lineRule="auto"/>
              <w:rPr>
                <w:rFonts w:ascii="Arial" w:eastAsia="Times New Roman" w:hAnsi="Arial" w:cs="Arial"/>
              </w:rPr>
            </w:pPr>
            <w:r w:rsidRPr="00291D22">
              <w:rPr>
                <w:rFonts w:ascii="Arial" w:eastAsia="Times New Roman" w:hAnsi="Arial" w:cs="Arial"/>
                <w:b/>
                <w:bCs/>
                <w:kern w:val="24"/>
              </w:rPr>
              <w:t xml:space="preserve">Obtain </w:t>
            </w:r>
            <w:r w:rsidR="00686C25">
              <w:rPr>
                <w:rFonts w:ascii="Arial" w:eastAsia="Times New Roman" w:hAnsi="Arial" w:cs="Arial"/>
                <w:b/>
                <w:bCs/>
                <w:kern w:val="24"/>
              </w:rPr>
              <w:t>district</w:t>
            </w:r>
            <w:r w:rsidRPr="00291D22">
              <w:rPr>
                <w:rFonts w:ascii="Arial" w:eastAsia="Times New Roman" w:hAnsi="Arial" w:cs="Arial"/>
                <w:b/>
                <w:bCs/>
                <w:kern w:val="24"/>
              </w:rPr>
              <w:t xml:space="preserve">-level buy-in for strong implementation of </w:t>
            </w:r>
            <w:r w:rsidRPr="00291D22">
              <w:rPr>
                <w:rFonts w:ascii="Arial" w:eastAsia="Times New Roman" w:hAnsi="Arial" w:cs="Arial"/>
                <w:b/>
                <w:bCs/>
                <w:kern w:val="24"/>
              </w:rPr>
              <w:lastRenderedPageBreak/>
              <w:t>coordinated school health (CSH) and alignment of afterschool programs with CSH</w:t>
            </w:r>
          </w:p>
        </w:tc>
        <w:tc>
          <w:tcPr>
            <w:tcW w:w="10710" w:type="dxa"/>
            <w:tcBorders>
              <w:top w:val="single" w:sz="8" w:space="0" w:color="7D0230"/>
              <w:left w:val="single" w:sz="8" w:space="0" w:color="7D0230"/>
              <w:bottom w:val="single" w:sz="8" w:space="0" w:color="7D0230"/>
              <w:right w:val="single" w:sz="8" w:space="0" w:color="7D0230"/>
            </w:tcBorders>
            <w:shd w:val="clear" w:color="auto" w:fill="FEBC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1D22" w:rsidRPr="00770538" w:rsidRDefault="00B44931" w:rsidP="00686C25">
            <w:pPr>
              <w:spacing w:after="0" w:line="264" w:lineRule="auto"/>
              <w:rPr>
                <w:color w:val="1F497D" w:themeColor="text2"/>
              </w:rPr>
            </w:pPr>
            <w:r w:rsidRPr="00291D22">
              <w:rPr>
                <w:rFonts w:ascii="Arial" w:eastAsia="Times New Roman" w:hAnsi="Arial" w:cs="Arial"/>
                <w:color w:val="000000" w:themeColor="text1"/>
                <w:kern w:val="24"/>
              </w:rPr>
              <w:lastRenderedPageBreak/>
              <w:t xml:space="preserve">1a. </w:t>
            </w:r>
            <w:r w:rsidR="003A01EF">
              <w:rPr>
                <w:rFonts w:ascii="Arial" w:eastAsia="Times New Roman" w:hAnsi="Arial" w:cs="Arial"/>
                <w:color w:val="000000" w:themeColor="text1"/>
                <w:kern w:val="24"/>
              </w:rPr>
              <w:t xml:space="preserve">(For </w:t>
            </w:r>
            <w:r w:rsidR="00686C25">
              <w:rPr>
                <w:rFonts w:ascii="Arial" w:eastAsia="Times New Roman" w:hAnsi="Arial" w:cs="Arial"/>
                <w:color w:val="000000" w:themeColor="text1"/>
                <w:kern w:val="24"/>
              </w:rPr>
              <w:t>large city’s school district</w:t>
            </w:r>
            <w:r w:rsidR="003A01EF">
              <w:rPr>
                <w:rFonts w:ascii="Arial" w:eastAsia="Times New Roman" w:hAnsi="Arial" w:cs="Arial"/>
                <w:color w:val="000000" w:themeColor="text1"/>
                <w:kern w:val="24"/>
              </w:rPr>
              <w:t>)</w:t>
            </w:r>
            <w:r w:rsidR="00770538">
              <w:rPr>
                <w:rFonts w:ascii="Arial" w:eastAsia="Times New Roman" w:hAnsi="Arial" w:cs="Arial"/>
                <w:color w:val="000000" w:themeColor="text1"/>
                <w:kern w:val="24"/>
              </w:rPr>
              <w:t xml:space="preserve"> meetings with School Leadership divisions to discuss: how </w:t>
            </w:r>
            <w:r w:rsidR="00E42D5D">
              <w:rPr>
                <w:rFonts w:ascii="Arial" w:eastAsia="Times New Roman" w:hAnsi="Arial" w:cs="Arial"/>
                <w:color w:val="000000" w:themeColor="text1"/>
                <w:kern w:val="24"/>
              </w:rPr>
              <w:t>Collective Impact Initiative</w:t>
            </w:r>
            <w:r w:rsidR="00770538">
              <w:rPr>
                <w:rFonts w:ascii="Arial" w:eastAsia="Times New Roman" w:hAnsi="Arial" w:cs="Arial"/>
                <w:color w:val="000000" w:themeColor="text1"/>
                <w:kern w:val="24"/>
              </w:rPr>
              <w:t xml:space="preserve"> is working to create a healthier out</w:t>
            </w:r>
            <w:r w:rsidR="003A01EF">
              <w:rPr>
                <w:rFonts w:ascii="Arial" w:eastAsia="Times New Roman" w:hAnsi="Arial" w:cs="Arial"/>
                <w:color w:val="000000" w:themeColor="text1"/>
                <w:kern w:val="24"/>
              </w:rPr>
              <w:t>-</w:t>
            </w:r>
            <w:r w:rsidR="00770538">
              <w:rPr>
                <w:rFonts w:ascii="Arial" w:eastAsia="Times New Roman" w:hAnsi="Arial" w:cs="Arial"/>
                <w:color w:val="000000" w:themeColor="text1"/>
                <w:kern w:val="24"/>
              </w:rPr>
              <w:t>of</w:t>
            </w:r>
            <w:r w:rsidR="003A01EF">
              <w:rPr>
                <w:rFonts w:ascii="Arial" w:eastAsia="Times New Roman" w:hAnsi="Arial" w:cs="Arial"/>
                <w:color w:val="000000" w:themeColor="text1"/>
                <w:kern w:val="24"/>
              </w:rPr>
              <w:t>-</w:t>
            </w:r>
            <w:r w:rsidR="00770538">
              <w:rPr>
                <w:rFonts w:ascii="Arial" w:eastAsia="Times New Roman" w:hAnsi="Arial" w:cs="Arial"/>
                <w:color w:val="000000" w:themeColor="text1"/>
                <w:kern w:val="24"/>
              </w:rPr>
              <w:t xml:space="preserve">school environment to support in-school efforts, </w:t>
            </w:r>
            <w:r w:rsidR="003A01EF">
              <w:rPr>
                <w:rFonts w:ascii="Arial" w:eastAsia="Times New Roman" w:hAnsi="Arial" w:cs="Arial"/>
                <w:color w:val="000000" w:themeColor="text1"/>
                <w:kern w:val="24"/>
              </w:rPr>
              <w:t xml:space="preserve">data </w:t>
            </w:r>
            <w:r w:rsidR="003A01EF">
              <w:rPr>
                <w:rFonts w:ascii="Arial" w:eastAsia="Times New Roman" w:hAnsi="Arial" w:cs="Arial"/>
                <w:color w:val="000000" w:themeColor="text1"/>
                <w:kern w:val="24"/>
              </w:rPr>
              <w:lastRenderedPageBreak/>
              <w:t>on</w:t>
            </w:r>
            <w:r w:rsidR="00770538">
              <w:rPr>
                <w:rFonts w:ascii="Arial" w:eastAsia="Times New Roman" w:hAnsi="Arial" w:cs="Arial"/>
                <w:color w:val="000000" w:themeColor="text1"/>
                <w:kern w:val="24"/>
              </w:rPr>
              <w:t xml:space="preserve"> child obesity in </w:t>
            </w:r>
            <w:r w:rsidR="00686C25">
              <w:rPr>
                <w:rFonts w:ascii="Arial" w:eastAsia="Times New Roman" w:hAnsi="Arial" w:cs="Arial"/>
                <w:color w:val="000000" w:themeColor="text1"/>
                <w:kern w:val="24"/>
              </w:rPr>
              <w:t>the city</w:t>
            </w:r>
            <w:r w:rsidR="00770538">
              <w:rPr>
                <w:rFonts w:ascii="Arial" w:eastAsia="Times New Roman" w:hAnsi="Arial" w:cs="Arial"/>
                <w:color w:val="000000" w:themeColor="text1"/>
                <w:kern w:val="24"/>
              </w:rPr>
              <w:t xml:space="preserve">, connections between student health and academic achievement, and importance of ongoing focus on implementation of </w:t>
            </w:r>
            <w:r w:rsidR="003A01EF">
              <w:rPr>
                <w:rFonts w:ascii="Arial" w:eastAsia="Times New Roman" w:hAnsi="Arial" w:cs="Arial"/>
                <w:color w:val="000000" w:themeColor="text1"/>
                <w:kern w:val="24"/>
              </w:rPr>
              <w:t>CSH</w:t>
            </w:r>
          </w:p>
        </w:tc>
      </w:tr>
      <w:tr w:rsidR="00B44931" w:rsidRPr="00291D22" w:rsidTr="00B44931">
        <w:trPr>
          <w:trHeight w:val="344"/>
        </w:trPr>
        <w:tc>
          <w:tcPr>
            <w:tcW w:w="3834" w:type="dxa"/>
            <w:gridSpan w:val="2"/>
            <w:vMerge/>
            <w:tcBorders>
              <w:top w:val="single" w:sz="8" w:space="0" w:color="7D0230"/>
              <w:left w:val="single" w:sz="8" w:space="0" w:color="7D0230"/>
              <w:bottom w:val="single" w:sz="8" w:space="0" w:color="7D0230"/>
              <w:right w:val="single" w:sz="8" w:space="0" w:color="7D0230"/>
            </w:tcBorders>
            <w:vAlign w:val="center"/>
            <w:hideMark/>
          </w:tcPr>
          <w:p w:rsidR="00B44931" w:rsidRPr="00291D22" w:rsidRDefault="00B44931" w:rsidP="00EA559B">
            <w:pPr>
              <w:spacing w:after="0" w:line="264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710" w:type="dxa"/>
            <w:tcBorders>
              <w:top w:val="single" w:sz="8" w:space="0" w:color="7D0230"/>
              <w:left w:val="single" w:sz="8" w:space="0" w:color="7D0230"/>
              <w:bottom w:val="single" w:sz="8" w:space="0" w:color="7D0230"/>
              <w:right w:val="single" w:sz="8" w:space="0" w:color="7D0230"/>
            </w:tcBorders>
            <w:shd w:val="clear" w:color="auto" w:fill="FEBC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1D22" w:rsidRPr="00291D22" w:rsidRDefault="00B44931" w:rsidP="00686C25">
            <w:pPr>
              <w:spacing w:after="0" w:line="264" w:lineRule="auto"/>
              <w:rPr>
                <w:rFonts w:ascii="Arial" w:eastAsia="Times New Roman" w:hAnsi="Arial" w:cs="Arial"/>
              </w:rPr>
            </w:pPr>
            <w:r w:rsidRPr="00770538">
              <w:rPr>
                <w:rFonts w:ascii="Arial" w:eastAsia="Times New Roman" w:hAnsi="Arial" w:cs="Arial"/>
                <w:color w:val="000000" w:themeColor="text1"/>
                <w:kern w:val="24"/>
              </w:rPr>
              <w:t>1b.</w:t>
            </w:r>
            <w:r w:rsidR="00770538" w:rsidRPr="00770538">
              <w:rPr>
                <w:color w:val="1F497D" w:themeColor="text2"/>
              </w:rPr>
              <w:t xml:space="preserve"> </w:t>
            </w:r>
            <w:r w:rsidR="003A01EF">
              <w:rPr>
                <w:color w:val="1F497D" w:themeColor="text2"/>
              </w:rPr>
              <w:t>(</w:t>
            </w:r>
            <w:r w:rsidR="003A01EF">
              <w:rPr>
                <w:rFonts w:ascii="Arial" w:eastAsia="Times New Roman" w:hAnsi="Arial" w:cs="Arial"/>
                <w:color w:val="000000" w:themeColor="text1"/>
                <w:kern w:val="24"/>
              </w:rPr>
              <w:t xml:space="preserve">For other </w:t>
            </w:r>
            <w:r w:rsidR="00686C25">
              <w:rPr>
                <w:rFonts w:ascii="Arial" w:eastAsia="Times New Roman" w:hAnsi="Arial" w:cs="Arial"/>
                <w:color w:val="000000" w:themeColor="text1"/>
                <w:kern w:val="24"/>
              </w:rPr>
              <w:t>nearby school districts</w:t>
            </w:r>
            <w:r w:rsidR="003A01EF">
              <w:rPr>
                <w:rFonts w:ascii="Arial" w:eastAsia="Times New Roman" w:hAnsi="Arial" w:cs="Arial"/>
                <w:color w:val="000000" w:themeColor="text1"/>
                <w:kern w:val="24"/>
              </w:rPr>
              <w:t>)</w:t>
            </w:r>
            <w:r w:rsidR="00770538">
              <w:rPr>
                <w:rFonts w:ascii="Arial" w:eastAsia="Times New Roman" w:hAnsi="Arial" w:cs="Arial"/>
                <w:color w:val="000000" w:themeColor="text1"/>
                <w:kern w:val="24"/>
              </w:rPr>
              <w:t xml:space="preserve"> meetings with representative at the ISD-level to discuss: how </w:t>
            </w:r>
            <w:r w:rsidR="00E42D5D">
              <w:rPr>
                <w:rFonts w:ascii="Arial" w:eastAsia="Times New Roman" w:hAnsi="Arial" w:cs="Arial"/>
                <w:color w:val="000000" w:themeColor="text1"/>
                <w:kern w:val="24"/>
              </w:rPr>
              <w:t>Collective Impact Initiative</w:t>
            </w:r>
            <w:r w:rsidR="00770538">
              <w:rPr>
                <w:rFonts w:ascii="Arial" w:eastAsia="Times New Roman" w:hAnsi="Arial" w:cs="Arial"/>
                <w:color w:val="000000" w:themeColor="text1"/>
                <w:kern w:val="24"/>
              </w:rPr>
              <w:t xml:space="preserve"> is working to create a healthier out</w:t>
            </w:r>
            <w:r w:rsidR="003A01EF">
              <w:rPr>
                <w:rFonts w:ascii="Arial" w:eastAsia="Times New Roman" w:hAnsi="Arial" w:cs="Arial"/>
                <w:color w:val="000000" w:themeColor="text1"/>
                <w:kern w:val="24"/>
              </w:rPr>
              <w:t>-</w:t>
            </w:r>
            <w:r w:rsidR="00770538">
              <w:rPr>
                <w:rFonts w:ascii="Arial" w:eastAsia="Times New Roman" w:hAnsi="Arial" w:cs="Arial"/>
                <w:color w:val="000000" w:themeColor="text1"/>
                <w:kern w:val="24"/>
              </w:rPr>
              <w:t>of</w:t>
            </w:r>
            <w:r w:rsidR="003A01EF">
              <w:rPr>
                <w:rFonts w:ascii="Arial" w:eastAsia="Times New Roman" w:hAnsi="Arial" w:cs="Arial"/>
                <w:color w:val="000000" w:themeColor="text1"/>
                <w:kern w:val="24"/>
              </w:rPr>
              <w:t>-</w:t>
            </w:r>
            <w:r w:rsidR="00770538">
              <w:rPr>
                <w:rFonts w:ascii="Arial" w:eastAsia="Times New Roman" w:hAnsi="Arial" w:cs="Arial"/>
                <w:color w:val="000000" w:themeColor="text1"/>
                <w:kern w:val="24"/>
              </w:rPr>
              <w:t xml:space="preserve">school environment to support in-school efforts, </w:t>
            </w:r>
            <w:r w:rsidR="003A01EF">
              <w:rPr>
                <w:rFonts w:ascii="Arial" w:eastAsia="Times New Roman" w:hAnsi="Arial" w:cs="Arial"/>
                <w:color w:val="000000" w:themeColor="text1"/>
                <w:kern w:val="24"/>
              </w:rPr>
              <w:t>data on</w:t>
            </w:r>
            <w:r w:rsidR="00770538">
              <w:rPr>
                <w:rFonts w:ascii="Arial" w:eastAsia="Times New Roman" w:hAnsi="Arial" w:cs="Arial"/>
                <w:color w:val="000000" w:themeColor="text1"/>
                <w:kern w:val="24"/>
              </w:rPr>
              <w:t xml:space="preserve"> child obesity, connections between student health and academic achievement, and resources to help implement </w:t>
            </w:r>
            <w:r w:rsidR="003A01EF">
              <w:rPr>
                <w:rFonts w:ascii="Arial" w:eastAsia="Times New Roman" w:hAnsi="Arial" w:cs="Arial"/>
                <w:color w:val="000000" w:themeColor="text1"/>
                <w:kern w:val="24"/>
              </w:rPr>
              <w:t>CSH</w:t>
            </w:r>
          </w:p>
        </w:tc>
      </w:tr>
      <w:tr w:rsidR="00291D22" w:rsidRPr="00291D22" w:rsidTr="00DF763C">
        <w:trPr>
          <w:gridBefore w:val="1"/>
          <w:wBefore w:w="216" w:type="dxa"/>
          <w:trHeight w:val="472"/>
        </w:trPr>
        <w:tc>
          <w:tcPr>
            <w:tcW w:w="3618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A559B" w:rsidRPr="00EA559B" w:rsidRDefault="00EA559B" w:rsidP="00DF763C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bCs/>
                <w:kern w:val="24"/>
              </w:rPr>
            </w:pPr>
          </w:p>
          <w:p w:rsidR="00291D22" w:rsidRPr="00291D22" w:rsidRDefault="00291D22" w:rsidP="00DF763C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291D22">
              <w:rPr>
                <w:rFonts w:ascii="Arial" w:eastAsia="Times New Roman" w:hAnsi="Arial" w:cs="Arial"/>
                <w:b/>
                <w:bCs/>
                <w:i/>
                <w:kern w:val="24"/>
              </w:rPr>
              <w:t>Early Childhood</w:t>
            </w:r>
          </w:p>
        </w:tc>
        <w:tc>
          <w:tcPr>
            <w:tcW w:w="1071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1D22" w:rsidRPr="00291D22" w:rsidRDefault="00291D22" w:rsidP="00DF763C">
            <w:pPr>
              <w:spacing w:after="0" w:line="264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91D22" w:rsidRPr="00291D22" w:rsidTr="00B44931">
        <w:trPr>
          <w:trHeight w:val="472"/>
        </w:trPr>
        <w:tc>
          <w:tcPr>
            <w:tcW w:w="3834" w:type="dxa"/>
            <w:gridSpan w:val="2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1D22" w:rsidRPr="00291D22" w:rsidRDefault="00291D22" w:rsidP="00EA559B">
            <w:pPr>
              <w:spacing w:after="0" w:line="264" w:lineRule="auto"/>
              <w:ind w:left="36"/>
              <w:contextualSpacing/>
              <w:rPr>
                <w:rFonts w:ascii="Arial" w:eastAsia="Times New Roman" w:hAnsi="Arial" w:cs="Arial"/>
                <w:b/>
              </w:rPr>
            </w:pPr>
            <w:r w:rsidRPr="00291D22">
              <w:rPr>
                <w:rFonts w:ascii="Arial" w:eastAsia="Times New Roman" w:hAnsi="Arial" w:cs="Arial"/>
                <w:b/>
                <w:bCs/>
                <w:kern w:val="24"/>
              </w:rPr>
              <w:t>Parent  or guardian education</w:t>
            </w:r>
          </w:p>
        </w:tc>
        <w:tc>
          <w:tcPr>
            <w:tcW w:w="10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1D22" w:rsidRPr="00291D22" w:rsidRDefault="00291D22" w:rsidP="00EA559B">
            <w:pPr>
              <w:spacing w:after="0" w:line="264" w:lineRule="auto"/>
              <w:rPr>
                <w:rFonts w:ascii="Arial" w:eastAsia="Times New Roman" w:hAnsi="Arial" w:cs="Arial"/>
              </w:rPr>
            </w:pPr>
            <w:r w:rsidRPr="00291D22">
              <w:rPr>
                <w:rFonts w:ascii="Arial" w:eastAsia="Times New Roman" w:hAnsi="Arial" w:cs="Arial"/>
                <w:color w:val="000000" w:themeColor="text1"/>
                <w:kern w:val="24"/>
              </w:rPr>
              <w:t>1a. Work with home visiting programs to share consistent information on  obesity prevention with the parents they target</w:t>
            </w:r>
          </w:p>
        </w:tc>
      </w:tr>
      <w:tr w:rsidR="00291D22" w:rsidRPr="00291D22" w:rsidTr="00B44931">
        <w:trPr>
          <w:trHeight w:val="584"/>
        </w:trPr>
        <w:tc>
          <w:tcPr>
            <w:tcW w:w="3834" w:type="dxa"/>
            <w:gridSpan w:val="2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91D22" w:rsidRPr="00291D22" w:rsidRDefault="00291D22" w:rsidP="00EA559B">
            <w:pPr>
              <w:spacing w:after="0" w:line="264" w:lineRule="auto"/>
              <w:ind w:left="36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1D22" w:rsidRPr="00291D22" w:rsidRDefault="00291D22" w:rsidP="00EA559B">
            <w:pPr>
              <w:spacing w:after="0" w:line="264" w:lineRule="auto"/>
              <w:rPr>
                <w:rFonts w:ascii="Arial" w:eastAsia="Times New Roman" w:hAnsi="Arial" w:cs="Arial"/>
              </w:rPr>
            </w:pPr>
            <w:r w:rsidRPr="00291D22">
              <w:rPr>
                <w:rFonts w:ascii="Arial" w:eastAsia="Times New Roman" w:hAnsi="Arial" w:cs="Arial"/>
                <w:color w:val="000000" w:themeColor="text1"/>
                <w:kern w:val="24"/>
              </w:rPr>
              <w:t>1b. Give parents criteria to consider, including obesity prevention components focus, when selecting a child care program</w:t>
            </w:r>
          </w:p>
        </w:tc>
      </w:tr>
      <w:tr w:rsidR="00291D22" w:rsidRPr="00291D22" w:rsidTr="00B44931">
        <w:trPr>
          <w:trHeight w:val="523"/>
        </w:trPr>
        <w:tc>
          <w:tcPr>
            <w:tcW w:w="3834" w:type="dxa"/>
            <w:gridSpan w:val="2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91D22" w:rsidRPr="00291D22" w:rsidRDefault="00291D22" w:rsidP="00EA559B">
            <w:pPr>
              <w:spacing w:after="0" w:line="264" w:lineRule="auto"/>
              <w:ind w:left="36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1D22" w:rsidRPr="00291D22" w:rsidRDefault="00291D22" w:rsidP="00EA559B">
            <w:pPr>
              <w:spacing w:after="0" w:line="264" w:lineRule="auto"/>
              <w:rPr>
                <w:rFonts w:ascii="Arial" w:eastAsia="Times New Roman" w:hAnsi="Arial" w:cs="Arial"/>
              </w:rPr>
            </w:pPr>
            <w:r w:rsidRPr="00291D22">
              <w:rPr>
                <w:rFonts w:ascii="Arial" w:eastAsia="Times New Roman" w:hAnsi="Arial" w:cs="Arial"/>
                <w:color w:val="000000" w:themeColor="text1"/>
                <w:kern w:val="24"/>
              </w:rPr>
              <w:t>1c. Explore use of churches and other trusted local organizations to provide  classes and consistent messages to parents</w:t>
            </w:r>
          </w:p>
        </w:tc>
      </w:tr>
      <w:tr w:rsidR="00291D22" w:rsidRPr="00291D22" w:rsidTr="00B44931">
        <w:trPr>
          <w:trHeight w:val="752"/>
        </w:trPr>
        <w:tc>
          <w:tcPr>
            <w:tcW w:w="38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1D22" w:rsidRPr="00291D22" w:rsidRDefault="00B44931" w:rsidP="00EA559B">
            <w:pPr>
              <w:spacing w:after="0" w:line="264" w:lineRule="auto"/>
              <w:ind w:left="36"/>
              <w:rPr>
                <w:rFonts w:ascii="Arial" w:eastAsia="Times New Roman" w:hAnsi="Arial" w:cs="Arial"/>
                <w:b/>
              </w:rPr>
            </w:pPr>
            <w:r w:rsidRPr="00EA559B">
              <w:rPr>
                <w:rFonts w:ascii="Arial" w:eastAsia="Times New Roman" w:hAnsi="Arial" w:cs="Arial"/>
                <w:b/>
                <w:bCs/>
                <w:kern w:val="24"/>
              </w:rPr>
              <w:t xml:space="preserve">Early childhood education </w:t>
            </w:r>
            <w:r w:rsidR="00291D22" w:rsidRPr="00291D22">
              <w:rPr>
                <w:rFonts w:ascii="Arial" w:eastAsia="Times New Roman" w:hAnsi="Arial" w:cs="Arial"/>
                <w:b/>
                <w:bCs/>
                <w:kern w:val="24"/>
              </w:rPr>
              <w:t>providers</w:t>
            </w:r>
          </w:p>
        </w:tc>
        <w:tc>
          <w:tcPr>
            <w:tcW w:w="10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1D22" w:rsidRPr="00291D22" w:rsidRDefault="00291D22" w:rsidP="00EA559B">
            <w:pPr>
              <w:spacing w:after="0" w:line="264" w:lineRule="auto"/>
              <w:ind w:left="360" w:hanging="360"/>
              <w:rPr>
                <w:rFonts w:ascii="Arial" w:eastAsia="Times New Roman" w:hAnsi="Arial" w:cs="Arial"/>
              </w:rPr>
            </w:pPr>
            <w:r w:rsidRPr="00291D22">
              <w:rPr>
                <w:rFonts w:ascii="Arial" w:eastAsia="Times New Roman" w:hAnsi="Arial" w:cs="Arial"/>
                <w:color w:val="000000"/>
                <w:kern w:val="24"/>
              </w:rPr>
              <w:t>2b. Working with training entities (those who help educated EC providers) to include  best practices in nutrition/activity  and  parent engagement in their curriculum</w:t>
            </w:r>
          </w:p>
          <w:p w:rsidR="00291D22" w:rsidRPr="00291D22" w:rsidRDefault="00291D22" w:rsidP="00EA559B">
            <w:pPr>
              <w:spacing w:after="0" w:line="264" w:lineRule="auto"/>
              <w:ind w:left="360" w:hanging="360"/>
              <w:rPr>
                <w:rFonts w:ascii="Arial" w:eastAsia="Times New Roman" w:hAnsi="Arial" w:cs="Arial"/>
              </w:rPr>
            </w:pPr>
            <w:r w:rsidRPr="00291D22">
              <w:rPr>
                <w:rFonts w:ascii="Arial" w:eastAsia="Times New Roman" w:hAnsi="Arial" w:cs="Arial"/>
                <w:color w:val="000000"/>
                <w:kern w:val="24"/>
              </w:rPr>
              <w:t xml:space="preserve">2c. </w:t>
            </w:r>
            <w:r w:rsidRPr="00291D22">
              <w:rPr>
                <w:rFonts w:ascii="Arial" w:eastAsia="Times New Roman" w:hAnsi="Arial" w:cs="Arial"/>
                <w:color w:val="000000" w:themeColor="text1"/>
                <w:kern w:val="24"/>
              </w:rPr>
              <w:t>Advocate for changes in minimum standard and accreditation for EC providers</w:t>
            </w:r>
          </w:p>
        </w:tc>
      </w:tr>
      <w:tr w:rsidR="00291D22" w:rsidRPr="00291D22" w:rsidTr="00B44931">
        <w:trPr>
          <w:trHeight w:val="472"/>
        </w:trPr>
        <w:tc>
          <w:tcPr>
            <w:tcW w:w="3834" w:type="dxa"/>
            <w:gridSpan w:val="2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1D22" w:rsidRPr="00291D22" w:rsidRDefault="00291D22" w:rsidP="00EA559B">
            <w:pPr>
              <w:spacing w:after="0" w:line="264" w:lineRule="auto"/>
              <w:rPr>
                <w:rFonts w:ascii="Arial" w:eastAsia="Times New Roman" w:hAnsi="Arial" w:cs="Arial"/>
                <w:b/>
              </w:rPr>
            </w:pPr>
            <w:r w:rsidRPr="00291D22">
              <w:rPr>
                <w:rFonts w:ascii="Arial" w:eastAsia="Times New Roman" w:hAnsi="Arial" w:cs="Arial"/>
                <w:b/>
                <w:bCs/>
                <w:kern w:val="24"/>
              </w:rPr>
              <w:t xml:space="preserve">Evaluation and assessment - </w:t>
            </w:r>
            <w:r w:rsidRPr="00291D22">
              <w:rPr>
                <w:rFonts w:ascii="Arial" w:eastAsia="Times New Roman" w:hAnsi="Arial" w:cs="Arial"/>
                <w:b/>
                <w:bCs/>
                <w:i/>
                <w:iCs/>
                <w:kern w:val="24"/>
              </w:rPr>
              <w:t>draft</w:t>
            </w:r>
          </w:p>
        </w:tc>
        <w:tc>
          <w:tcPr>
            <w:tcW w:w="10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1D22" w:rsidRPr="00291D22" w:rsidRDefault="00291D22" w:rsidP="00EA559B">
            <w:pPr>
              <w:spacing w:after="0" w:line="264" w:lineRule="auto"/>
              <w:rPr>
                <w:rFonts w:ascii="Arial" w:eastAsia="Times New Roman" w:hAnsi="Arial" w:cs="Arial"/>
              </w:rPr>
            </w:pPr>
            <w:r w:rsidRPr="00291D22">
              <w:rPr>
                <w:rFonts w:ascii="Arial" w:eastAsia="Times New Roman" w:hAnsi="Arial" w:cs="Arial"/>
                <w:color w:val="000000" w:themeColor="text1"/>
                <w:kern w:val="24"/>
              </w:rPr>
              <w:t xml:space="preserve">3a. Make sleep evaluation part of child wellness indicators </w:t>
            </w:r>
          </w:p>
        </w:tc>
      </w:tr>
      <w:tr w:rsidR="00291D22" w:rsidRPr="00291D22" w:rsidTr="00B44931">
        <w:trPr>
          <w:trHeight w:val="447"/>
        </w:trPr>
        <w:tc>
          <w:tcPr>
            <w:tcW w:w="3834" w:type="dxa"/>
            <w:gridSpan w:val="2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91D22" w:rsidRPr="00291D22" w:rsidRDefault="00291D22" w:rsidP="00EA559B">
            <w:pPr>
              <w:spacing w:after="0" w:line="264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1D22" w:rsidRPr="00291D22" w:rsidRDefault="00291D22" w:rsidP="00EA559B">
            <w:pPr>
              <w:spacing w:after="0" w:line="264" w:lineRule="auto"/>
              <w:rPr>
                <w:rFonts w:ascii="Arial" w:eastAsia="Times New Roman" w:hAnsi="Arial" w:cs="Arial"/>
              </w:rPr>
            </w:pPr>
            <w:r w:rsidRPr="00291D22">
              <w:rPr>
                <w:rFonts w:ascii="Arial" w:eastAsia="Times New Roman" w:hAnsi="Arial" w:cs="Arial"/>
                <w:color w:val="000000" w:themeColor="text1"/>
                <w:kern w:val="24"/>
              </w:rPr>
              <w:t>3b. Create a consistent methodology  for measuring obesity in 0-5s </w:t>
            </w:r>
          </w:p>
        </w:tc>
      </w:tr>
      <w:tr w:rsidR="00291D22" w:rsidRPr="00291D22" w:rsidTr="00DF763C">
        <w:trPr>
          <w:trHeight w:val="434"/>
        </w:trPr>
        <w:tc>
          <w:tcPr>
            <w:tcW w:w="3834" w:type="dxa"/>
            <w:gridSpan w:val="2"/>
            <w:tcBorders>
              <w:top w:val="nil"/>
              <w:left w:val="nil"/>
              <w:bottom w:val="single" w:sz="8" w:space="0" w:color="FAA75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1D22" w:rsidRPr="00291D22" w:rsidRDefault="00291D22" w:rsidP="00DF763C">
            <w:pPr>
              <w:spacing w:after="0" w:line="264" w:lineRule="auto"/>
              <w:jc w:val="center"/>
              <w:rPr>
                <w:rFonts w:ascii="Arial" w:eastAsia="Times New Roman" w:hAnsi="Arial" w:cs="Arial"/>
              </w:rPr>
            </w:pPr>
            <w:r w:rsidRPr="00291D22">
              <w:rPr>
                <w:rFonts w:ascii="Arial" w:eastAsia="Times New Roman" w:hAnsi="Arial" w:cs="Arial"/>
                <w:b/>
                <w:bCs/>
                <w:i/>
                <w:kern w:val="24"/>
              </w:rPr>
              <w:t>Supportive Healthcare</w:t>
            </w:r>
            <w:r w:rsidR="00EA559B" w:rsidRPr="00EA559B">
              <w:rPr>
                <w:rFonts w:ascii="Arial" w:eastAsia="Times New Roman" w:hAnsi="Arial" w:cs="Arial"/>
                <w:b/>
                <w:bCs/>
                <w:i/>
                <w:kern w:val="24"/>
              </w:rPr>
              <w:t xml:space="preserve"> System</w:t>
            </w:r>
          </w:p>
        </w:tc>
        <w:tc>
          <w:tcPr>
            <w:tcW w:w="10710" w:type="dxa"/>
            <w:tcBorders>
              <w:top w:val="nil"/>
              <w:left w:val="nil"/>
              <w:bottom w:val="single" w:sz="8" w:space="0" w:color="FAA75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1D22" w:rsidRPr="00291D22" w:rsidRDefault="00291D22" w:rsidP="00DF763C">
            <w:pPr>
              <w:spacing w:after="0" w:line="264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91D22" w:rsidRPr="00291D22" w:rsidTr="00B44931">
        <w:trPr>
          <w:trHeight w:val="608"/>
        </w:trPr>
        <w:tc>
          <w:tcPr>
            <w:tcW w:w="3834" w:type="dxa"/>
            <w:gridSpan w:val="2"/>
            <w:tcBorders>
              <w:top w:val="single" w:sz="8" w:space="0" w:color="FAA755"/>
              <w:left w:val="single" w:sz="8" w:space="0" w:color="FAA755"/>
              <w:bottom w:val="single" w:sz="8" w:space="0" w:color="FAA755"/>
              <w:right w:val="single" w:sz="8" w:space="0" w:color="FAA755"/>
            </w:tcBorders>
            <w:shd w:val="clear" w:color="auto" w:fill="FEE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1D22" w:rsidRPr="00291D22" w:rsidRDefault="00291D22" w:rsidP="00EA559B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</w:rPr>
            </w:pPr>
            <w:r w:rsidRPr="00291D22">
              <w:rPr>
                <w:rFonts w:ascii="Arial" w:eastAsia="Times New Roman" w:hAnsi="Arial" w:cs="Arial"/>
                <w:b/>
                <w:bCs/>
                <w:kern w:val="24"/>
              </w:rPr>
              <w:t>Close the gap between breastfeeding hospital initiation and rates at six months</w:t>
            </w:r>
          </w:p>
        </w:tc>
        <w:tc>
          <w:tcPr>
            <w:tcW w:w="10710" w:type="dxa"/>
            <w:tcBorders>
              <w:top w:val="single" w:sz="8" w:space="0" w:color="FAA755"/>
              <w:left w:val="single" w:sz="8" w:space="0" w:color="FAA755"/>
              <w:bottom w:val="single" w:sz="8" w:space="0" w:color="FAA755"/>
              <w:right w:val="single" w:sz="8" w:space="0" w:color="FAA755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1D22" w:rsidRPr="00291D22" w:rsidRDefault="00291D22" w:rsidP="00EA559B">
            <w:pPr>
              <w:spacing w:after="0" w:line="264" w:lineRule="auto"/>
              <w:rPr>
                <w:rFonts w:ascii="Arial" w:eastAsia="Times New Roman" w:hAnsi="Arial" w:cs="Arial"/>
              </w:rPr>
            </w:pPr>
            <w:r w:rsidRPr="00291D22">
              <w:rPr>
                <w:rFonts w:ascii="Arial" w:eastAsia="Times New Roman" w:hAnsi="Arial" w:cs="Arial"/>
                <w:color w:val="000000"/>
                <w:kern w:val="24"/>
              </w:rPr>
              <w:t xml:space="preserve">1a. Assess system gaps beyond information / knowledge that prohibit breastfeeding at 6 months </w:t>
            </w:r>
          </w:p>
        </w:tc>
      </w:tr>
      <w:tr w:rsidR="00291D22" w:rsidRPr="00291D22" w:rsidTr="00B44931">
        <w:trPr>
          <w:trHeight w:val="564"/>
        </w:trPr>
        <w:tc>
          <w:tcPr>
            <w:tcW w:w="3834" w:type="dxa"/>
            <w:gridSpan w:val="2"/>
            <w:vMerge w:val="restart"/>
            <w:tcBorders>
              <w:top w:val="single" w:sz="8" w:space="0" w:color="FAA755"/>
              <w:left w:val="single" w:sz="8" w:space="0" w:color="FAA755"/>
              <w:bottom w:val="single" w:sz="8" w:space="0" w:color="FAA755"/>
              <w:right w:val="single" w:sz="8" w:space="0" w:color="FAA755"/>
            </w:tcBorders>
            <w:shd w:val="clear" w:color="auto" w:fill="FEE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1D22" w:rsidRPr="00291D22" w:rsidRDefault="00291D22" w:rsidP="00EA559B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</w:rPr>
            </w:pPr>
            <w:r w:rsidRPr="00291D22">
              <w:rPr>
                <w:rFonts w:ascii="Arial" w:eastAsia="Times New Roman" w:hAnsi="Arial" w:cs="Arial"/>
                <w:b/>
                <w:bCs/>
                <w:kern w:val="24"/>
              </w:rPr>
              <w:t>To better prepare physicians to deliver consistent messages and discuss obesity with patients</w:t>
            </w:r>
          </w:p>
        </w:tc>
        <w:tc>
          <w:tcPr>
            <w:tcW w:w="10710" w:type="dxa"/>
            <w:tcBorders>
              <w:top w:val="single" w:sz="8" w:space="0" w:color="FAA755"/>
              <w:left w:val="single" w:sz="8" w:space="0" w:color="FAA755"/>
              <w:bottom w:val="single" w:sz="8" w:space="0" w:color="FAA755"/>
              <w:right w:val="single" w:sz="8" w:space="0" w:color="FAA755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1D22" w:rsidRPr="00291D22" w:rsidRDefault="00291D22" w:rsidP="00EA559B">
            <w:pPr>
              <w:spacing w:after="0" w:line="264" w:lineRule="auto"/>
              <w:rPr>
                <w:rFonts w:ascii="Arial" w:eastAsia="Times New Roman" w:hAnsi="Arial" w:cs="Arial"/>
              </w:rPr>
            </w:pPr>
            <w:r w:rsidRPr="00291D22">
              <w:rPr>
                <w:rFonts w:ascii="Arial" w:eastAsia="Times New Roman" w:hAnsi="Arial" w:cs="Arial"/>
                <w:color w:val="000000"/>
                <w:kern w:val="24"/>
              </w:rPr>
              <w:t>2a. Create action-oriented, community specific materials for doctors to share with patients</w:t>
            </w:r>
          </w:p>
        </w:tc>
      </w:tr>
      <w:tr w:rsidR="00291D22" w:rsidRPr="00291D22" w:rsidTr="00B44931">
        <w:trPr>
          <w:trHeight w:val="564"/>
        </w:trPr>
        <w:tc>
          <w:tcPr>
            <w:tcW w:w="3834" w:type="dxa"/>
            <w:gridSpan w:val="2"/>
            <w:vMerge/>
            <w:tcBorders>
              <w:top w:val="single" w:sz="8" w:space="0" w:color="FAA755"/>
              <w:left w:val="single" w:sz="8" w:space="0" w:color="FAA755"/>
              <w:bottom w:val="single" w:sz="8" w:space="0" w:color="FAA755"/>
              <w:right w:val="single" w:sz="8" w:space="0" w:color="FAA755"/>
            </w:tcBorders>
            <w:vAlign w:val="center"/>
            <w:hideMark/>
          </w:tcPr>
          <w:p w:rsidR="00291D22" w:rsidRPr="00291D22" w:rsidRDefault="00291D22" w:rsidP="00EA559B">
            <w:pPr>
              <w:spacing w:after="0" w:line="264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710" w:type="dxa"/>
            <w:tcBorders>
              <w:top w:val="single" w:sz="8" w:space="0" w:color="FAA755"/>
              <w:left w:val="single" w:sz="8" w:space="0" w:color="FAA755"/>
              <w:bottom w:val="single" w:sz="8" w:space="0" w:color="FAA755"/>
              <w:right w:val="single" w:sz="8" w:space="0" w:color="FAA755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1D22" w:rsidRPr="00291D22" w:rsidRDefault="00291D22" w:rsidP="00EA559B">
            <w:pPr>
              <w:spacing w:after="0" w:line="264" w:lineRule="auto"/>
              <w:rPr>
                <w:rFonts w:ascii="Arial" w:eastAsia="Times New Roman" w:hAnsi="Arial" w:cs="Arial"/>
              </w:rPr>
            </w:pPr>
            <w:r w:rsidRPr="00291D22">
              <w:rPr>
                <w:rFonts w:ascii="Arial" w:eastAsia="Times New Roman" w:hAnsi="Arial" w:cs="Arial"/>
                <w:color w:val="000000"/>
                <w:kern w:val="24"/>
              </w:rPr>
              <w:t xml:space="preserve">2b. Offer continuing education modules for physicians / nurses that provide practical tips / tools and connections to community resources </w:t>
            </w:r>
          </w:p>
        </w:tc>
      </w:tr>
      <w:tr w:rsidR="00291D22" w:rsidRPr="00291D22" w:rsidTr="00B44931">
        <w:trPr>
          <w:trHeight w:val="586"/>
        </w:trPr>
        <w:tc>
          <w:tcPr>
            <w:tcW w:w="3834" w:type="dxa"/>
            <w:gridSpan w:val="2"/>
            <w:tcBorders>
              <w:top w:val="single" w:sz="8" w:space="0" w:color="FAA755"/>
              <w:left w:val="single" w:sz="8" w:space="0" w:color="FAA755"/>
              <w:bottom w:val="single" w:sz="8" w:space="0" w:color="FAA755"/>
              <w:right w:val="single" w:sz="8" w:space="0" w:color="FAA755"/>
            </w:tcBorders>
            <w:shd w:val="clear" w:color="auto" w:fill="FEE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1D22" w:rsidRPr="00291D22" w:rsidRDefault="00291D22" w:rsidP="00EA559B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</w:rPr>
            </w:pPr>
            <w:r w:rsidRPr="00291D22">
              <w:rPr>
                <w:rFonts w:ascii="Arial" w:eastAsia="Times New Roman" w:hAnsi="Arial" w:cs="Arial"/>
                <w:b/>
                <w:bCs/>
                <w:kern w:val="24"/>
              </w:rPr>
              <w:lastRenderedPageBreak/>
              <w:t>To advocate for insurance policy changes with respect to obesity</w:t>
            </w:r>
          </w:p>
        </w:tc>
        <w:tc>
          <w:tcPr>
            <w:tcW w:w="10710" w:type="dxa"/>
            <w:tcBorders>
              <w:top w:val="single" w:sz="8" w:space="0" w:color="FAA755"/>
              <w:left w:val="single" w:sz="8" w:space="0" w:color="FAA755"/>
              <w:bottom w:val="single" w:sz="8" w:space="0" w:color="FAA755"/>
              <w:right w:val="single" w:sz="8" w:space="0" w:color="FAA755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1D22" w:rsidRPr="00291D22" w:rsidRDefault="00291D22" w:rsidP="00686C25">
            <w:pPr>
              <w:spacing w:after="0" w:line="264" w:lineRule="auto"/>
              <w:rPr>
                <w:rFonts w:ascii="Arial" w:eastAsia="Times New Roman" w:hAnsi="Arial" w:cs="Arial"/>
              </w:rPr>
            </w:pPr>
            <w:r w:rsidRPr="00291D22">
              <w:rPr>
                <w:rFonts w:ascii="Arial" w:eastAsia="Times New Roman" w:hAnsi="Arial" w:cs="Arial"/>
                <w:color w:val="000000" w:themeColor="text1"/>
                <w:kern w:val="24"/>
              </w:rPr>
              <w:t xml:space="preserve">3a. Determine why </w:t>
            </w:r>
            <w:r w:rsidR="00686C25">
              <w:rPr>
                <w:rFonts w:ascii="Arial" w:eastAsia="Times New Roman" w:hAnsi="Arial" w:cs="Arial"/>
                <w:color w:val="000000" w:themeColor="text1"/>
                <w:kern w:val="24"/>
              </w:rPr>
              <w:t>state</w:t>
            </w:r>
            <w:r w:rsidR="00686C25" w:rsidRPr="00291D22">
              <w:rPr>
                <w:rFonts w:ascii="Arial" w:eastAsia="Times New Roman" w:hAnsi="Arial" w:cs="Arial"/>
                <w:color w:val="000000" w:themeColor="text1"/>
                <w:kern w:val="24"/>
              </w:rPr>
              <w:t xml:space="preserve"> </w:t>
            </w:r>
            <w:r w:rsidRPr="00291D22">
              <w:rPr>
                <w:rFonts w:ascii="Arial" w:eastAsia="Times New Roman" w:hAnsi="Arial" w:cs="Arial"/>
                <w:color w:val="000000" w:themeColor="text1"/>
                <w:kern w:val="24"/>
              </w:rPr>
              <w:t xml:space="preserve">insurers currently do not reimburse for obesity related visits and what business case exists for change </w:t>
            </w:r>
          </w:p>
        </w:tc>
      </w:tr>
    </w:tbl>
    <w:p w:rsidR="00291D22" w:rsidRDefault="00291D22" w:rsidP="00EA559B">
      <w:pPr>
        <w:spacing w:after="0" w:line="264" w:lineRule="auto"/>
        <w:rPr>
          <w:rFonts w:ascii="Arial" w:hAnsi="Arial" w:cs="Arial"/>
        </w:rPr>
      </w:pPr>
    </w:p>
    <w:p w:rsidR="005F688F" w:rsidRDefault="005F688F" w:rsidP="00EA559B">
      <w:pPr>
        <w:spacing w:after="0" w:line="264" w:lineRule="auto"/>
        <w:rPr>
          <w:rFonts w:ascii="Arial" w:hAnsi="Arial" w:cs="Arial"/>
        </w:rPr>
      </w:pPr>
    </w:p>
    <w:p w:rsidR="005F688F" w:rsidRDefault="005F688F" w:rsidP="00686C25">
      <w:pPr>
        <w:spacing w:after="0" w:line="264" w:lineRule="auto"/>
        <w:rPr>
          <w:rFonts w:ascii="Arial" w:hAnsi="Arial" w:cs="Arial"/>
        </w:rPr>
      </w:pPr>
    </w:p>
    <w:sectPr w:rsidR="005F688F" w:rsidSect="00B4493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349"/>
    <w:multiLevelType w:val="hybridMultilevel"/>
    <w:tmpl w:val="A71A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D5737"/>
    <w:multiLevelType w:val="hybridMultilevel"/>
    <w:tmpl w:val="40E85498"/>
    <w:lvl w:ilvl="0" w:tplc="CE5EAB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E2D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FA57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48A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E1F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818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80E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EC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580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E7022"/>
    <w:multiLevelType w:val="hybridMultilevel"/>
    <w:tmpl w:val="38E07284"/>
    <w:lvl w:ilvl="0" w:tplc="AA32C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D614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38E2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4CF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687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9E38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76A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8D5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46D0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C74BC5"/>
    <w:multiLevelType w:val="hybridMultilevel"/>
    <w:tmpl w:val="F6DE32C4"/>
    <w:lvl w:ilvl="0" w:tplc="F12E2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46B2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5EC0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E03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4AC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B637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AA7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80C8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5E43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C5485F"/>
    <w:multiLevelType w:val="hybridMultilevel"/>
    <w:tmpl w:val="7026028A"/>
    <w:lvl w:ilvl="0" w:tplc="BA388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1E97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E43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84A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C77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32DA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C6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A49C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ACFC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D4414C"/>
    <w:multiLevelType w:val="hybridMultilevel"/>
    <w:tmpl w:val="7A8E2140"/>
    <w:lvl w:ilvl="0" w:tplc="E624A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BCB5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80C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94EA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181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E6F1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427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148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FED1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280033"/>
    <w:multiLevelType w:val="hybridMultilevel"/>
    <w:tmpl w:val="8936764A"/>
    <w:lvl w:ilvl="0" w:tplc="52A4E76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C291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EC94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6A6C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B6B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501B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9CE7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ECC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34F6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22"/>
    <w:rsid w:val="0010093D"/>
    <w:rsid w:val="001571A2"/>
    <w:rsid w:val="00175813"/>
    <w:rsid w:val="00291D22"/>
    <w:rsid w:val="00344A12"/>
    <w:rsid w:val="003A01EF"/>
    <w:rsid w:val="005F688F"/>
    <w:rsid w:val="00672712"/>
    <w:rsid w:val="00686C25"/>
    <w:rsid w:val="006B4775"/>
    <w:rsid w:val="00770538"/>
    <w:rsid w:val="009E5727"/>
    <w:rsid w:val="00A70B28"/>
    <w:rsid w:val="00B44931"/>
    <w:rsid w:val="00B70453"/>
    <w:rsid w:val="00DF763C"/>
    <w:rsid w:val="00E42D5D"/>
    <w:rsid w:val="00EA559B"/>
    <w:rsid w:val="00F0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1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1D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5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81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1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1D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5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8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6779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2193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7096">
          <w:marLeft w:val="36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050">
          <w:marLeft w:val="36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209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184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9875">
          <w:marLeft w:val="36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504">
          <w:marLeft w:val="36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134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0F0EB-481D-4F20-BE2F-1F611421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White</dc:creator>
  <cp:lastModifiedBy>Tracy Timmons-Gray</cp:lastModifiedBy>
  <cp:revision>2</cp:revision>
  <dcterms:created xsi:type="dcterms:W3CDTF">2015-01-15T18:49:00Z</dcterms:created>
  <dcterms:modified xsi:type="dcterms:W3CDTF">2015-01-15T18:49:00Z</dcterms:modified>
</cp:coreProperties>
</file>